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DNUVYCWVXXHZ-2339-3</_dlc_DocId>
    <_dlc_DocIdUrl xmlns="22fd18e6-64cf-4f9f-aa22-5c0dbd791516">
      <Url>https://academic.mutah.edu.jo/moutaz/_layouts/DocIdRedir.aspx?ID=DNUVYCWVXXHZ-2339-3</Url>
      <Description>DNUVYCWVXXHZ-2339-3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673542750F47842B8FBF30107CDFE70" ma:contentTypeVersion="0" ma:contentTypeDescription="Create a new document." ma:contentTypeScope="" ma:versionID="c313edf2344e86b3415053e0333731b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946FBCF-AF1C-4ED2-A570-0368F90BDBB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0x0101009673542750F47842B8FBF30107CDFE70</vt:lpwstr>
  </property>
  <property fmtid="{D5CDD505-2E9C-101B-9397-08002B2CF9AE}" pid="3" name="_dlc_DocIdItemGuid">
    <vt:lpwstr>ba44059d-c033-4e05-b2ec-f3180ddb6270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